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F3EEF7">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在许昌市开展业务的</w:t>
      </w:r>
      <w:r>
        <w:rPr>
          <w:rFonts w:hint="eastAsia" w:ascii="方正小标宋简体" w:hAnsi="方正小标宋简体" w:eastAsia="方正小标宋简体" w:cs="方正小标宋简体"/>
          <w:sz w:val="36"/>
          <w:szCs w:val="36"/>
        </w:rPr>
        <w:t>雷电防护装置检测资质单位</w:t>
      </w:r>
    </w:p>
    <w:p w14:paraId="1CD3F8AA">
      <w:pPr>
        <w:jc w:val="center"/>
        <w:rPr>
          <w:rFonts w:hint="eastAsia" w:ascii="黑体" w:hAnsi="黑体" w:eastAsia="黑体" w:cs="黑体"/>
          <w:sz w:val="36"/>
          <w:szCs w:val="36"/>
        </w:rPr>
      </w:pPr>
      <w:r>
        <w:rPr>
          <w:rFonts w:hint="eastAsia" w:ascii="方正小标宋简体" w:hAnsi="方正小标宋简体" w:eastAsia="方正小标宋简体" w:cs="方正小标宋简体"/>
          <w:sz w:val="36"/>
          <w:szCs w:val="36"/>
        </w:rPr>
        <w:t>履行</w:t>
      </w:r>
      <w:r>
        <w:rPr>
          <w:rFonts w:hint="eastAsia" w:ascii="方正小标宋简体" w:hAnsi="方正小标宋简体" w:eastAsia="方正小标宋简体" w:cs="方正小标宋简体"/>
          <w:sz w:val="36"/>
          <w:szCs w:val="36"/>
          <w:lang w:eastAsia="zh-CN"/>
        </w:rPr>
        <w:t>防雷安全检测</w:t>
      </w:r>
      <w:r>
        <w:rPr>
          <w:rFonts w:hint="eastAsia" w:ascii="方正小标宋简体" w:hAnsi="方正小标宋简体" w:eastAsia="方正小标宋简体" w:cs="方正小标宋简体"/>
          <w:sz w:val="36"/>
          <w:szCs w:val="36"/>
        </w:rPr>
        <w:t>主体责任承诺书</w:t>
      </w:r>
    </w:p>
    <w:p w14:paraId="037187D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u w:val="single"/>
        </w:rPr>
      </w:pPr>
    </w:p>
    <w:p w14:paraId="21362C3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　　　　　　</w:t>
      </w:r>
      <w:r>
        <w:rPr>
          <w:rFonts w:hint="eastAsia" w:ascii="仿宋_GB2312" w:hAnsi="仿宋_GB2312" w:eastAsia="仿宋_GB2312" w:cs="仿宋_GB2312"/>
          <w:sz w:val="28"/>
          <w:szCs w:val="28"/>
        </w:rPr>
        <w:t>承诺：</w:t>
      </w:r>
    </w:p>
    <w:p w14:paraId="001B560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严格遵守《气象灾害防御条例》、《雷电防护装置检测资质管理办法》等有关法律法规的规定，</w:t>
      </w:r>
      <w:bookmarkStart w:id="0" w:name="_GoBack"/>
      <w:bookmarkEnd w:id="0"/>
      <w:r>
        <w:rPr>
          <w:rFonts w:hint="eastAsia" w:ascii="仿宋_GB2312" w:hAnsi="仿宋_GB2312" w:eastAsia="仿宋_GB2312" w:cs="仿宋_GB2312"/>
          <w:sz w:val="28"/>
          <w:szCs w:val="28"/>
        </w:rPr>
        <w:t>认真履行以下</w:t>
      </w:r>
      <w:r>
        <w:rPr>
          <w:rFonts w:hint="eastAsia" w:ascii="仿宋_GB2312" w:hAnsi="仿宋_GB2312" w:eastAsia="仿宋_GB2312" w:cs="仿宋_GB2312"/>
          <w:sz w:val="28"/>
          <w:szCs w:val="28"/>
          <w:lang w:eastAsia="zh-CN"/>
        </w:rPr>
        <w:t>防雷安全检测主体</w:t>
      </w:r>
      <w:r>
        <w:rPr>
          <w:rFonts w:hint="eastAsia" w:ascii="仿宋_GB2312" w:hAnsi="仿宋_GB2312" w:eastAsia="仿宋_GB2312" w:cs="仿宋_GB2312"/>
          <w:sz w:val="28"/>
          <w:szCs w:val="28"/>
        </w:rPr>
        <w:t>责任：</w:t>
      </w:r>
    </w:p>
    <w:p w14:paraId="202BC743">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黑体" w:hAnsi="黑体" w:eastAsia="黑体" w:cs="黑体"/>
          <w:kern w:val="0"/>
          <w:sz w:val="28"/>
          <w:szCs w:val="28"/>
        </w:rPr>
      </w:pPr>
      <w:r>
        <w:rPr>
          <w:rFonts w:hint="eastAsia" w:ascii="黑体" w:hAnsi="黑体" w:eastAsia="黑体" w:cs="黑体"/>
          <w:kern w:val="0"/>
          <w:sz w:val="28"/>
          <w:szCs w:val="28"/>
        </w:rPr>
        <w:t>（一）合法合规运营责任</w:t>
      </w:r>
    </w:p>
    <w:p w14:paraId="0365FF9B">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承担雷电防护装置检测主体责任，遵守国家有关法律法规，不伪造、涂改、出租、出借、挂靠、转让雷电防护装置检测资质证，不超出资质等级承接雷电防护装置检测，不转包或者违法分包雷电防护装置检测项目，不出具虚假检测报告。</w:t>
      </w:r>
    </w:p>
    <w:p w14:paraId="036A80D0">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2.在雷电防护装置检测资质存续期间，保证本单位能够持续符合资质等级认定条件和要求，健全质量管理体系，定期审查和完善，确保管理体系有效运行。</w:t>
      </w:r>
    </w:p>
    <w:p w14:paraId="28AE1B98">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3.加强对专业技术人员的检测能力培训。确保</w:t>
      </w:r>
      <w:r>
        <w:rPr>
          <w:rFonts w:hint="eastAsia" w:ascii="仿宋_GB2312" w:hAnsi="仿宋_GB2312" w:eastAsia="仿宋_GB2312" w:cs="仿宋_GB2312"/>
          <w:kern w:val="0"/>
          <w:sz w:val="28"/>
          <w:szCs w:val="28"/>
          <w:lang w:eastAsia="zh-CN"/>
        </w:rPr>
        <w:t>本单位以及</w:t>
      </w:r>
      <w:r>
        <w:rPr>
          <w:rFonts w:hint="eastAsia" w:ascii="仿宋_GB2312" w:hAnsi="仿宋_GB2312" w:eastAsia="仿宋_GB2312" w:cs="仿宋_GB2312"/>
          <w:kern w:val="0"/>
          <w:sz w:val="28"/>
          <w:szCs w:val="28"/>
        </w:rPr>
        <w:t>分支机构检测技术人员能力水平、技术装备、检测质量符合相关要求。</w:t>
      </w:r>
    </w:p>
    <w:p w14:paraId="71CF0D2C">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4.本单位所有专业技术人员签订正式劳动合同，且具备雷电防护装置检测资质等级需要的检测能力，在本单位连续缴纳社会保险。</w:t>
      </w:r>
    </w:p>
    <w:p w14:paraId="55407A62">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5.雷电防护装置检测安全管理制度有效运行，配备安全生产装备，并做好安全培训和警示教育。</w:t>
      </w:r>
    </w:p>
    <w:p w14:paraId="5102DD0A">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黑体" w:hAnsi="黑体" w:eastAsia="黑体" w:cs="黑体"/>
          <w:kern w:val="0"/>
          <w:sz w:val="28"/>
          <w:szCs w:val="28"/>
        </w:rPr>
      </w:pPr>
      <w:r>
        <w:rPr>
          <w:rFonts w:hint="eastAsia" w:ascii="黑体" w:hAnsi="黑体" w:eastAsia="黑体" w:cs="黑体"/>
          <w:kern w:val="0"/>
          <w:sz w:val="28"/>
          <w:szCs w:val="28"/>
        </w:rPr>
        <w:t>（二）</w:t>
      </w:r>
      <w:r>
        <w:rPr>
          <w:rFonts w:hint="eastAsia" w:ascii="黑体" w:hAnsi="黑体" w:eastAsia="黑体" w:cs="黑体"/>
          <w:kern w:val="0"/>
          <w:sz w:val="28"/>
          <w:szCs w:val="28"/>
          <w:lang w:eastAsia="zh-CN"/>
        </w:rPr>
        <w:t>检测</w:t>
      </w:r>
      <w:r>
        <w:rPr>
          <w:rFonts w:hint="eastAsia" w:ascii="黑体" w:hAnsi="黑体" w:eastAsia="黑体" w:cs="黑体"/>
          <w:kern w:val="0"/>
          <w:sz w:val="28"/>
          <w:szCs w:val="28"/>
        </w:rPr>
        <w:t>技术服务质量责任</w:t>
      </w:r>
    </w:p>
    <w:p w14:paraId="7D08D512">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6.遵守国家有关规范标准、规范开展雷电防护装置检测并编制雷电防护装置检测报告，确保出具的雷电防护装置检测数据与结果的真实、客观、准确。</w:t>
      </w:r>
    </w:p>
    <w:p w14:paraId="4345B122">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7.开展检测时，检测人员要具备雷电防护装置检测能力，并向被检单位出具检测资质证书、现场检测技术人员姓名及身份证信息等，接受被检单位核验。</w:t>
      </w:r>
    </w:p>
    <w:p w14:paraId="2CA7ED06">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8.在雷电防护装置检测过程中发现防雷安全隐患的，要向被检测单位提出整改意见。发现防雷安全重点单位存在防雷安全隐患的，应当将整改意见报告当地气象主管机构。</w:t>
      </w:r>
    </w:p>
    <w:p w14:paraId="71D254BA">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9．检测仪器仪表要在计量检定校准有效期内，检测原始记录、雷电防护装置检测报告要如实记录现场检测使用的仪器仪表型号和设备编号。</w:t>
      </w:r>
    </w:p>
    <w:p w14:paraId="05CB9AC5">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10.建立完善技术档案管理制度，对检测原始记录、检测报告和委托检测协议（合同）归档留存，保证其具有可追溯性。</w:t>
      </w:r>
    </w:p>
    <w:p w14:paraId="4EF68FC9">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黑体" w:hAnsi="黑体" w:eastAsia="黑体" w:cs="黑体"/>
          <w:kern w:val="0"/>
          <w:sz w:val="28"/>
          <w:szCs w:val="28"/>
        </w:rPr>
        <w:t>（三）主动接受监督管理责任</w:t>
      </w:r>
    </w:p>
    <w:p w14:paraId="21C6A695">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ascii="仿宋_GB2312" w:hAnsi="仿宋_GB2312" w:cs="Helvetica"/>
          <w:kern w:val="0"/>
          <w:sz w:val="28"/>
          <w:szCs w:val="28"/>
        </w:rPr>
      </w:pPr>
      <w:r>
        <w:rPr>
          <w:rFonts w:hint="eastAsia" w:ascii="仿宋_GB2312" w:hAnsi="仿宋_GB2312" w:cs="Helvetica"/>
          <w:kern w:val="0"/>
          <w:sz w:val="28"/>
          <w:szCs w:val="28"/>
        </w:rPr>
        <w:t>11.河南省气象局审批的</w:t>
      </w:r>
      <w:r>
        <w:rPr>
          <w:rFonts w:hint="eastAsia" w:ascii="仿宋_GB2312" w:hAnsi="黑体"/>
          <w:sz w:val="28"/>
          <w:szCs w:val="28"/>
        </w:rPr>
        <w:t>雷电防护装置检测资质单位</w:t>
      </w:r>
      <w:r>
        <w:rPr>
          <w:rFonts w:hint="eastAsia" w:ascii="仿宋_GB2312" w:hAnsi="仿宋_GB2312" w:cs="Helvetica"/>
          <w:kern w:val="0"/>
          <w:sz w:val="28"/>
          <w:szCs w:val="28"/>
        </w:rPr>
        <w:t>设立分支机构或者跨省从事雷电防护装置检测活动的，及时向开展活动所在地的省级气象主管机构报告，并报送检测项目清单，主动接受当地气象主管机构的监督管理。</w:t>
      </w:r>
    </w:p>
    <w:p w14:paraId="4581940A">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ascii="仿宋_GB2312" w:hAnsi="仿宋_GB2312" w:cs="Helvetica"/>
          <w:kern w:val="0"/>
          <w:sz w:val="28"/>
          <w:szCs w:val="28"/>
        </w:rPr>
      </w:pPr>
      <w:r>
        <w:rPr>
          <w:rFonts w:hint="eastAsia" w:ascii="仿宋_GB2312" w:hAnsi="仿宋_GB2312" w:cs="Helvetica"/>
          <w:kern w:val="0"/>
          <w:sz w:val="28"/>
          <w:szCs w:val="28"/>
        </w:rPr>
        <w:t>12.在河南开展业务的省外</w:t>
      </w:r>
      <w:r>
        <w:rPr>
          <w:rFonts w:hint="eastAsia" w:ascii="仿宋_GB2312" w:hAnsi="黑体"/>
          <w:sz w:val="28"/>
          <w:szCs w:val="28"/>
        </w:rPr>
        <w:t>雷电防护装置检测资质单位，</w:t>
      </w:r>
      <w:r>
        <w:rPr>
          <w:rFonts w:hint="eastAsia" w:ascii="仿宋_GB2312" w:hAnsi="仿宋_GB2312" w:cs="Helvetica"/>
          <w:kern w:val="0"/>
          <w:sz w:val="28"/>
          <w:szCs w:val="28"/>
        </w:rPr>
        <w:t>及时向河南省气象局报告，报送检测项目清单，并</w:t>
      </w:r>
      <w:r>
        <w:rPr>
          <w:rFonts w:hint="eastAsia" w:ascii="仿宋_GB2312" w:hAnsi="黑体"/>
          <w:sz w:val="28"/>
          <w:szCs w:val="28"/>
        </w:rPr>
        <w:t>向检测活动所在地气象主管机构报告检测活动信息。</w:t>
      </w:r>
    </w:p>
    <w:p w14:paraId="5B2F3473">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ascii="仿宋_GB2312" w:hAnsi="仿宋_GB2312" w:cs="Helvetica"/>
          <w:kern w:val="0"/>
          <w:sz w:val="28"/>
          <w:szCs w:val="28"/>
        </w:rPr>
      </w:pPr>
      <w:r>
        <w:rPr>
          <w:rFonts w:hint="eastAsia" w:ascii="仿宋_GB2312" w:hAnsi="仿宋_GB2312" w:cs="Helvetica"/>
          <w:kern w:val="0"/>
          <w:sz w:val="28"/>
          <w:szCs w:val="28"/>
        </w:rPr>
        <w:t>13.从取得防雷装置检测资质后次年起，在每年的第二季度</w:t>
      </w:r>
      <w:r>
        <w:rPr>
          <w:rFonts w:hint="eastAsia" w:ascii="仿宋_GB2312" w:hAnsi="仿宋_GB2312" w:cs="Helvetica"/>
          <w:spacing w:val="-11"/>
          <w:kern w:val="0"/>
          <w:sz w:val="28"/>
          <w:szCs w:val="28"/>
        </w:rPr>
        <w:t>通</w:t>
      </w:r>
      <w:r>
        <w:rPr>
          <w:rFonts w:hint="eastAsia" w:ascii="仿宋_GB2312" w:hAnsi="仿宋_GB2312" w:cs="Helvetica"/>
          <w:spacing w:val="-6"/>
          <w:kern w:val="0"/>
          <w:sz w:val="28"/>
          <w:szCs w:val="28"/>
        </w:rPr>
        <w:t>过全国防雷减灾综合管理服务平台（网址https://www.qgfljg.cn）</w:t>
      </w:r>
      <w:r>
        <w:rPr>
          <w:rFonts w:hint="eastAsia" w:ascii="仿宋_GB2312" w:hAnsi="仿宋_GB2312" w:cs="Helvetica"/>
          <w:kern w:val="0"/>
          <w:sz w:val="28"/>
          <w:szCs w:val="28"/>
        </w:rPr>
        <w:t>报送年度报告，不隐瞒检测项目信息与单位基本信息。</w:t>
      </w:r>
    </w:p>
    <w:p w14:paraId="70711D79">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1</w:t>
      </w:r>
      <w:r>
        <w:rPr>
          <w:rFonts w:hint="eastAsia" w:ascii="仿宋_GB2312" w:hAnsi="仿宋_GB2312" w:cs="仿宋_GB2312"/>
          <w:kern w:val="0"/>
          <w:sz w:val="28"/>
          <w:szCs w:val="28"/>
          <w:lang w:val="en-US" w:eastAsia="zh-CN"/>
        </w:rPr>
        <w:t>4</w:t>
      </w:r>
      <w:r>
        <w:rPr>
          <w:rFonts w:hint="eastAsia" w:ascii="仿宋_GB2312" w:hAnsi="仿宋_GB2312" w:eastAsia="仿宋_GB2312" w:cs="仿宋_GB2312"/>
          <w:kern w:val="0"/>
          <w:sz w:val="28"/>
          <w:szCs w:val="28"/>
        </w:rPr>
        <w:t>.</w:t>
      </w:r>
      <w:r>
        <w:rPr>
          <w:rFonts w:hint="eastAsia" w:ascii="仿宋_GB2312" w:hAnsi="仿宋_GB2312" w:eastAsia="仿宋_GB2312" w:cs="仿宋_GB2312"/>
          <w:sz w:val="28"/>
          <w:szCs w:val="28"/>
        </w:rPr>
        <w:t>应在检测活动完成后15个工作日内，将雷电防护装置检测项目信息</w:t>
      </w:r>
      <w:r>
        <w:rPr>
          <w:rFonts w:hint="eastAsia" w:ascii="仿宋_GB2312" w:hAnsi="仿宋_GB2312" w:eastAsia="仿宋_GB2312" w:cs="仿宋_GB2312"/>
          <w:sz w:val="28"/>
          <w:szCs w:val="28"/>
          <w:lang w:eastAsia="zh-CN"/>
        </w:rPr>
        <w:t>和检测报告</w:t>
      </w:r>
      <w:r>
        <w:rPr>
          <w:rFonts w:hint="eastAsia" w:ascii="仿宋_GB2312" w:hAnsi="仿宋_GB2312" w:eastAsia="仿宋_GB2312" w:cs="仿宋_GB2312"/>
          <w:sz w:val="28"/>
          <w:szCs w:val="28"/>
        </w:rPr>
        <w:t>报送</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全国防雷减灾综合管理服务平台</w:t>
      </w:r>
      <w:r>
        <w:rPr>
          <w:rFonts w:hint="eastAsia" w:ascii="仿宋_GB2312" w:hAnsi="仿宋_GB2312" w:eastAsia="仿宋_GB2312" w:cs="仿宋_GB2312"/>
          <w:sz w:val="28"/>
          <w:szCs w:val="28"/>
          <w:lang w:eastAsia="zh-CN"/>
        </w:rPr>
        <w:t>”获取检测报告溯源二维码，并在正式出具的检测报告封面粘贴二维码</w:t>
      </w:r>
      <w:r>
        <w:rPr>
          <w:rFonts w:hint="eastAsia" w:ascii="仿宋_GB2312" w:hAnsi="仿宋_GB2312" w:cs="仿宋_GB2312"/>
          <w:sz w:val="28"/>
          <w:szCs w:val="28"/>
          <w:lang w:eastAsia="zh-CN"/>
        </w:rPr>
        <w:t>，</w:t>
      </w:r>
      <w:r>
        <w:rPr>
          <w:rFonts w:hint="eastAsia" w:ascii="仿宋_GB2312" w:hAnsi="仿宋_GB2312" w:eastAsia="仿宋_GB2312" w:cs="仿宋_GB2312"/>
          <w:sz w:val="28"/>
          <w:szCs w:val="28"/>
          <w:lang w:eastAsia="zh-CN"/>
        </w:rPr>
        <w:t>以便业主单位查看和监管部门监督</w:t>
      </w:r>
      <w:r>
        <w:rPr>
          <w:rFonts w:hint="eastAsia" w:ascii="仿宋_GB2312" w:hAnsi="仿宋_GB2312" w:eastAsia="仿宋_GB2312" w:cs="仿宋_GB2312"/>
          <w:kern w:val="0"/>
          <w:sz w:val="28"/>
          <w:szCs w:val="28"/>
        </w:rPr>
        <w:t>；发现存在防雷安全隐患的，要向被检测单位提出整改意见；被检测单位属于防雷安全重点单位的要将整改意见报告当地气象主管机构</w:t>
      </w:r>
      <w:r>
        <w:rPr>
          <w:rFonts w:hint="eastAsia" w:ascii="仿宋_GB2312" w:hAnsi="仿宋_GB2312" w:eastAsia="仿宋_GB2312" w:cs="仿宋_GB2312"/>
          <w:kern w:val="0"/>
          <w:sz w:val="28"/>
          <w:szCs w:val="28"/>
          <w:lang w:eastAsia="zh-CN"/>
        </w:rPr>
        <w:t>。</w:t>
      </w:r>
    </w:p>
    <w:p w14:paraId="64337E2B">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cs="仿宋_GB2312"/>
          <w:kern w:val="0"/>
          <w:sz w:val="28"/>
          <w:szCs w:val="28"/>
          <w:lang w:val="en-US" w:eastAsia="zh-CN"/>
        </w:rPr>
        <w:t>5</w:t>
      </w:r>
      <w:r>
        <w:rPr>
          <w:rFonts w:hint="eastAsia" w:ascii="仿宋_GB2312" w:hAnsi="仿宋_GB2312" w:eastAsia="仿宋_GB2312" w:cs="仿宋_GB2312"/>
          <w:kern w:val="0"/>
          <w:sz w:val="28"/>
          <w:szCs w:val="28"/>
        </w:rPr>
        <w:t>.主动配合气象主管机构开展行政检查、质量考核、信用管理等工作，对责令整改的事项按期限完成整改，并及时报送整改结果。</w:t>
      </w:r>
    </w:p>
    <w:p w14:paraId="79ABDC95">
      <w:pPr>
        <w:keepNext w:val="0"/>
        <w:keepLines w:val="0"/>
        <w:pageBreakBefore w:val="0"/>
        <w:widowControl w:val="0"/>
        <w:kinsoku/>
        <w:wordWrap/>
        <w:overflowPunct/>
        <w:topLinePunct w:val="0"/>
        <w:autoSpaceDE/>
        <w:autoSpaceDN/>
        <w:bidi w:val="0"/>
        <w:adjustRightInd/>
        <w:snapToGrid/>
        <w:spacing w:line="440" w:lineRule="exact"/>
        <w:ind w:firstLine="618" w:firstLineChars="221"/>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cs="仿宋_GB2312"/>
          <w:kern w:val="0"/>
          <w:sz w:val="28"/>
          <w:szCs w:val="28"/>
          <w:lang w:val="en-US" w:eastAsia="zh-CN"/>
        </w:rPr>
        <w:t>6</w:t>
      </w:r>
      <w:r>
        <w:rPr>
          <w:rFonts w:hint="eastAsia" w:ascii="仿宋_GB2312" w:hAnsi="仿宋_GB2312" w:eastAsia="仿宋_GB2312" w:cs="仿宋_GB2312"/>
          <w:kern w:val="0"/>
          <w:sz w:val="28"/>
          <w:szCs w:val="28"/>
        </w:rPr>
        <w:t>.加强行业自律，避免恶性竞争，自觉维护检测市场的诚信、公平、公正。</w:t>
      </w:r>
    </w:p>
    <w:p w14:paraId="05FC9084">
      <w:pPr>
        <w:keepNext w:val="0"/>
        <w:keepLines w:val="0"/>
        <w:pageBreakBefore w:val="0"/>
        <w:widowControl w:val="0"/>
        <w:kinsoku/>
        <w:wordWrap/>
        <w:overflowPunct/>
        <w:topLinePunct w:val="0"/>
        <w:autoSpaceDE/>
        <w:autoSpaceDN/>
        <w:bidi w:val="0"/>
        <w:adjustRightInd/>
        <w:snapToGrid/>
        <w:spacing w:line="440" w:lineRule="exact"/>
        <w:ind w:firstLine="636"/>
        <w:contextualSpacing/>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14:paraId="418DE248">
      <w:pPr>
        <w:keepNext w:val="0"/>
        <w:keepLines w:val="0"/>
        <w:pageBreakBefore w:val="0"/>
        <w:widowControl w:val="0"/>
        <w:tabs>
          <w:tab w:val="left" w:pos="4160"/>
        </w:tabs>
        <w:kinsoku/>
        <w:wordWrap/>
        <w:overflowPunct/>
        <w:topLinePunct w:val="0"/>
        <w:autoSpaceDE/>
        <w:autoSpaceDN/>
        <w:bidi w:val="0"/>
        <w:adjustRightInd w:val="0"/>
        <w:snapToGrid w:val="0"/>
        <w:spacing w:line="540" w:lineRule="exact"/>
        <w:textAlignment w:val="auto"/>
        <w:rPr>
          <w:rFonts w:hint="eastAsia" w:ascii="仿宋_GB2312"/>
          <w:color w:val="000000"/>
          <w:sz w:val="28"/>
          <w:szCs w:val="28"/>
          <w:lang w:eastAsia="zh-CN"/>
        </w:rPr>
      </w:pPr>
    </w:p>
    <w:p w14:paraId="2F7F800F">
      <w:pPr>
        <w:keepNext w:val="0"/>
        <w:keepLines w:val="0"/>
        <w:pageBreakBefore w:val="0"/>
        <w:widowControl w:val="0"/>
        <w:tabs>
          <w:tab w:val="left" w:pos="4160"/>
        </w:tabs>
        <w:kinsoku/>
        <w:wordWrap/>
        <w:overflowPunct/>
        <w:topLinePunct w:val="0"/>
        <w:autoSpaceDE/>
        <w:autoSpaceDN/>
        <w:bidi w:val="0"/>
        <w:adjustRightInd w:val="0"/>
        <w:snapToGrid w:val="0"/>
        <w:spacing w:line="440" w:lineRule="exact"/>
        <w:ind w:firstLine="560" w:firstLineChars="200"/>
        <w:textAlignment w:val="auto"/>
        <w:rPr>
          <w:rFonts w:hint="eastAsia" w:ascii="仿宋_GB2312" w:eastAsia="仿宋_GB2312"/>
          <w:color w:val="000000"/>
          <w:sz w:val="28"/>
          <w:szCs w:val="28"/>
        </w:rPr>
      </w:pPr>
      <w:r>
        <w:rPr>
          <w:rFonts w:hint="eastAsia" w:ascii="仿宋_GB2312"/>
          <w:color w:val="000000"/>
          <w:sz w:val="28"/>
          <w:szCs w:val="28"/>
          <w:lang w:val="en-US" w:eastAsia="zh-CN"/>
        </w:rPr>
        <w:t>承诺</w:t>
      </w:r>
      <w:r>
        <w:rPr>
          <w:rFonts w:hint="eastAsia" w:ascii="仿宋_GB2312"/>
          <w:color w:val="000000"/>
          <w:sz w:val="28"/>
          <w:szCs w:val="28"/>
          <w:lang w:eastAsia="zh-CN"/>
        </w:rPr>
        <w:t>单位：</w:t>
      </w:r>
      <w:r>
        <w:rPr>
          <w:rFonts w:hint="eastAsia" w:ascii="仿宋_GB2312" w:eastAsia="仿宋_GB2312"/>
          <w:color w:val="000000"/>
          <w:sz w:val="28"/>
          <w:szCs w:val="28"/>
        </w:rPr>
        <w:t xml:space="preserve">                      </w:t>
      </w:r>
      <w:r>
        <w:rPr>
          <w:rFonts w:hint="eastAsia" w:ascii="仿宋_GB2312"/>
          <w:color w:val="000000"/>
          <w:sz w:val="28"/>
          <w:szCs w:val="28"/>
          <w:lang w:val="en-US" w:eastAsia="zh-CN"/>
        </w:rPr>
        <w:t xml:space="preserve">    承诺</w:t>
      </w:r>
      <w:r>
        <w:rPr>
          <w:rFonts w:hint="eastAsia" w:ascii="仿宋_GB2312" w:eastAsia="仿宋_GB2312"/>
          <w:color w:val="000000"/>
          <w:sz w:val="28"/>
          <w:szCs w:val="28"/>
        </w:rPr>
        <w:t>人：</w:t>
      </w:r>
    </w:p>
    <w:p w14:paraId="15E7027D">
      <w:pPr>
        <w:keepNext w:val="0"/>
        <w:keepLines w:val="0"/>
        <w:pageBreakBefore w:val="0"/>
        <w:widowControl w:val="0"/>
        <w:kinsoku/>
        <w:wordWrap/>
        <w:overflowPunct/>
        <w:topLinePunct w:val="0"/>
        <w:autoSpaceDE/>
        <w:autoSpaceDN/>
        <w:bidi w:val="0"/>
        <w:adjustRightInd w:val="0"/>
        <w:snapToGrid w:val="0"/>
        <w:spacing w:line="440" w:lineRule="exact"/>
        <w:ind w:firstLine="437"/>
        <w:textAlignment w:val="auto"/>
        <w:rPr>
          <w:rFonts w:hint="eastAsia" w:ascii="仿宋_GB2312" w:hAnsi="仿宋_GB2312" w:eastAsia="仿宋_GB2312" w:cs="仿宋_GB2312"/>
          <w:sz w:val="28"/>
          <w:szCs w:val="28"/>
        </w:rPr>
      </w:pPr>
      <w:r>
        <w:rPr>
          <w:rFonts w:hint="eastAsia" w:ascii="仿宋_GB2312" w:eastAsia="仿宋_GB2312"/>
          <w:color w:val="000000"/>
          <w:sz w:val="28"/>
          <w:szCs w:val="28"/>
        </w:rPr>
        <w:t xml:space="preserve">                       </w:t>
      </w:r>
      <w:r>
        <w:rPr>
          <w:rFonts w:hint="eastAsia" w:ascii="仿宋_GB2312"/>
          <w:color w:val="000000"/>
          <w:sz w:val="28"/>
          <w:szCs w:val="28"/>
          <w:lang w:val="en-US" w:eastAsia="zh-CN"/>
        </w:rPr>
        <w:t xml:space="preserve">             </w:t>
      </w:r>
      <w:r>
        <w:rPr>
          <w:rFonts w:hint="eastAsia" w:ascii="仿宋_GB2312"/>
          <w:color w:val="000000"/>
          <w:sz w:val="28"/>
          <w:szCs w:val="28"/>
          <w:lang w:eastAsia="zh-CN"/>
        </w:rPr>
        <w:t>联系电话：</w:t>
      </w:r>
      <w:r>
        <w:rPr>
          <w:rFonts w:hint="eastAsia" w:ascii="仿宋_GB2312" w:eastAsia="仿宋_GB2312"/>
          <w:color w:val="000000"/>
          <w:sz w:val="28"/>
          <w:szCs w:val="28"/>
        </w:rPr>
        <w:t xml:space="preserve"> </w:t>
      </w:r>
      <w:r>
        <w:rPr>
          <w:rFonts w:hint="eastAsia" w:ascii="仿宋_GB2312" w:eastAsia="仿宋_GB2312"/>
          <w:color w:val="000000"/>
          <w:sz w:val="32"/>
          <w:szCs w:val="32"/>
        </w:rPr>
        <w:t xml:space="preserve"> </w:t>
      </w:r>
      <w:r>
        <w:rPr>
          <w:rFonts w:hint="eastAsia" w:ascii="仿宋_GB2312" w:hAnsi="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p>
    <w:p w14:paraId="1783462E">
      <w:pPr>
        <w:keepNext w:val="0"/>
        <w:keepLines w:val="0"/>
        <w:pageBreakBefore w:val="0"/>
        <w:widowControl w:val="0"/>
        <w:kinsoku/>
        <w:wordWrap/>
        <w:overflowPunct/>
        <w:topLinePunct w:val="0"/>
        <w:autoSpaceDE/>
        <w:autoSpaceDN/>
        <w:bidi w:val="0"/>
        <w:adjustRightInd/>
        <w:snapToGrid/>
        <w:spacing w:line="440" w:lineRule="exact"/>
        <w:contextualSpacing/>
        <w:jc w:val="center"/>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 xml:space="preserve">                               </w:t>
      </w:r>
      <w:r>
        <w:rPr>
          <w:rFonts w:hint="eastAsia" w:ascii="仿宋_GB2312" w:hAnsi="仿宋_GB2312" w:eastAsia="仿宋_GB2312" w:cs="仿宋_GB2312"/>
          <w:sz w:val="28"/>
          <w:szCs w:val="28"/>
        </w:rPr>
        <w:t>年   月   日</w:t>
      </w:r>
    </w:p>
    <w:sectPr>
      <w:footerReference r:id="rId5" w:type="default"/>
      <w:pgSz w:w="11906" w:h="16838"/>
      <w:pgMar w:top="1440" w:right="1466"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0000600000000000000"/>
    <w:charset w:val="86"/>
    <w:family w:val="auto"/>
    <w:pitch w:val="default"/>
    <w:sig w:usb0="800002BF" w:usb1="184F6CF8" w:usb2="00000012" w:usb3="00000000" w:csb0="00160001" w:csb1="12030000"/>
  </w:font>
  <w:font w:name="Helvetica">
    <w:altName w:val="Arial"/>
    <w:panose1 w:val="020B0604020202020204"/>
    <w:charset w:val="00"/>
    <w:family w:val="swiss"/>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5A97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F3BD60">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4F3BD60">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wY2QwYWMwNmQ1ZGFmMTMwYjMyODdlOTA1NWRjZGIifQ=="/>
  </w:docVars>
  <w:rsids>
    <w:rsidRoot w:val="00ED491B"/>
    <w:rsid w:val="006E3493"/>
    <w:rsid w:val="00894A9F"/>
    <w:rsid w:val="00ED491B"/>
    <w:rsid w:val="0D415241"/>
    <w:rsid w:val="11D7796F"/>
    <w:rsid w:val="194520C2"/>
    <w:rsid w:val="28B13DF0"/>
    <w:rsid w:val="2F6B1FE9"/>
    <w:rsid w:val="305742F2"/>
    <w:rsid w:val="46480424"/>
    <w:rsid w:val="4700508A"/>
    <w:rsid w:val="4FA07788"/>
    <w:rsid w:val="504661FF"/>
    <w:rsid w:val="50F82B8C"/>
    <w:rsid w:val="595A765A"/>
    <w:rsid w:val="7254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1175</Words>
  <Characters>1216</Characters>
  <Lines>9</Lines>
  <Paragraphs>2</Paragraphs>
  <TotalTime>3</TotalTime>
  <ScaleCrop>false</ScaleCrop>
  <LinksUpToDate>false</LinksUpToDate>
  <CharactersWithSpaces>1297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2022-03-22T12:00:00Z</dcterms:created>
  <dc:creator>琛 王</dc:creator>
  <cp:lastModifiedBy>风调雨顺</cp:lastModifiedBy>
  <cp:lastPrinted>2024-08-15T03:04:00Z</cp:lastPrinted>
  <dcterms:modified xsi:type="dcterms:W3CDTF">2025-09-08T02:32:51Z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DECEBE4853D24EFF95513B48A96EB374_13</vt:lpwstr>
  </property>
  <property fmtid="{D5CDD505-2E9C-101B-9397-08002B2CF9AE}" pid="4" name="KSOTemplateDocerSaveRecord">
    <vt:lpwstr>eyJoZGlkIjoiN2EwY2QwYWMwNmQ1ZGFmMTMwYjMyODdlOTA1NWRjZGIiLCJ1c2VySWQiOiI0NTk2MzA5MDMifQ==</vt:lpwstr>
  </property>
</Properties>
</file>